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šeobecn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é obchodní podmínky XLAB pro podnikatele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 xml:space="preserve">Úvodní ustanovení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Obchodní 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XLAB s.r.o.</w:t>
      </w: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se sídlem:</w:t>
        <w:tab/>
        <w:t xml:space="preserve">Výstavi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ště 67, Bubeneč, 170 00 Praha 7</w:t>
      </w: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ČO: </w:t>
        <w:tab/>
        <w:tab/>
        <w:t xml:space="preserve">020 56 623</w:t>
        <w:tab/>
      </w: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ab/>
        <w:t xml:space="preserve">CZ02056623</w:t>
        <w:tab/>
      </w: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zapsaná: </w:t>
        <w:tab/>
        <w:t xml:space="preserve">v 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ěstsk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 soudem v Praze, </w:t>
      </w: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 xml:space="preserve">oddíl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213941</w:t>
      </w: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ú.:</w:t>
        <w:tab/>
        <w:tab/>
        <w:t xml:space="preserve">260540361/0300</w:t>
        <w:tab/>
      </w: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(dále jen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XLAB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“)</w:t>
      </w: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vydává tyto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šeobecn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obchodní podmínky XLAB pro podnikatele (dále jen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VOP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“), které upravují smluvní vztahy s podnikateli, do nich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 XLAB vstupuje v souvislosti s poskytov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áním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žeb a tvorbou Děl Objednatelům, jak jsou tyto pojmy definov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ány ní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že.</w:t>
      </w: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Odchylná ujednání ve Smlouv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jak je tato definov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ána ní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že, maj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řednost před těmito VOP.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Smluvní vztah mezi XLAB a Objednatelem se té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 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ídí: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ěmito VOP, jejichž zněn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je dostupné na webových stránkách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http://www.xlab.cz/cz/vop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14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ustanoveními Smlouvy a dokument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ů, na kter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tyto VOP odkazují; a</w:t>
      </w:r>
    </w:p>
    <w:p>
      <w:pPr>
        <w:numPr>
          <w:ilvl w:val="0"/>
          <w:numId w:val="14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ustanoveními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ých právních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ředpisů.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Tyto VOP se vztahují na Objednatele, kte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jsou podnikateli ve smyslu ust. § 420 zákona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č. 89/2012 Sb., občansk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ého zákoníku, ve zn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pozd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ějš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ích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ředpisů (d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ále té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 jen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ob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čansk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ý zákoník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“). Na smlouvy uzavírané se spot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řebitelem se tyto VOP neuplatn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 xml:space="preserve">Definice základních pou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žit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ých pojm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ů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Pojmy pou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v textu VOP mají následující význam: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Dílo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dílo s nehmotným výsledkem dle ust. § 2631 a násl. ob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čansk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ého zákoníku, spo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ívající zejména ve výrob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 komplexn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ího vizuálního a/nebo projek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ího obsahu (výroba grafického obsahu, 3D animací a st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řih dodan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ých filmových videí apod.)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23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Kalkulace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cenový návrh poskytnutí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žeb a / nebo zhotoven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Díla ze strany XLAB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ředkl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ádaný Objednateli ze strany XLAB; </w:t>
      </w:r>
    </w:p>
    <w:p>
      <w:pPr>
        <w:numPr>
          <w:ilvl w:val="0"/>
          <w:numId w:val="23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Licence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oprávn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k výkonu práva 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Díla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vytvo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ého v souladu se Smlouvou, a to vcelku nebo jeho libovolných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ástí,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ud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ělovan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Objednateli ze strany XLAB;</w:t>
      </w:r>
    </w:p>
    <w:p>
      <w:pPr>
        <w:numPr>
          <w:ilvl w:val="0"/>
          <w:numId w:val="23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Návrh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návrh na uzav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smlouvy o poskytování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žeb či vytvořen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Díla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ávrh na poskytnutí konkrétních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žeb a / nebo zhotoven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konkrétního Díla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ředkl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ádaný ze strany XLAB Objednateli;</w:t>
      </w:r>
    </w:p>
    <w:p>
      <w:pPr>
        <w:numPr>
          <w:ilvl w:val="0"/>
          <w:numId w:val="23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Objednatel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podnikatel, stát, státní organizace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samospr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ávná územní jednotka, která uzav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 s XLAB Smlouvu;</w:t>
      </w:r>
    </w:p>
    <w:p>
      <w:pPr>
        <w:numPr>
          <w:ilvl w:val="0"/>
          <w:numId w:val="23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Slu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žba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jak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ákoliv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žba společnosti XLAB nab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ízená a poskytovaná v rámci podnikatelské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činnosti XLAB, zejm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éna pak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ěkter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ze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žeb uveden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ých dále v 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ěchto VOP;</w:t>
      </w:r>
    </w:p>
    <w:p>
      <w:pPr>
        <w:numPr>
          <w:ilvl w:val="0"/>
          <w:numId w:val="23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Smlouva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smlouva o poskytování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žeb či vytvořen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Díla uzav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mezi XLAB a Objednatelem, 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ť již jakoukoliv formou (včetně akceptace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ávrhu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akceptace Kalkulace); </w:t>
      </w:r>
    </w:p>
    <w:p>
      <w:pPr>
        <w:numPr>
          <w:ilvl w:val="0"/>
          <w:numId w:val="23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Strany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smluvní strany Smlouvy, tj. XLAB a Objednatel; </w:t>
      </w:r>
    </w:p>
    <w:p>
      <w:pPr>
        <w:numPr>
          <w:ilvl w:val="0"/>
          <w:numId w:val="23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VOP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tyto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šeobecn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obchodní podmínky XLAB pro podnikatele.</w:t>
      </w:r>
    </w:p>
    <w:p>
      <w:pPr>
        <w:numPr>
          <w:ilvl w:val="0"/>
          <w:numId w:val="23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XLAB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obchodní 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XLAB s.r.o., se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ídlem: Výstavi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ště 67, Bubeneč, 170 00 Praha 7, IČO: 020 56 623, DIČ: CZ02056623, zapsan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á: v 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ěstsk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 soudem v Praze, oddíl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213941; </w:t>
      </w: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pojmy pou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v textu VOP mají význam definovaný v konkrétním ustanovení VOP.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7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Slu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žby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9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XLAB zaji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šťuje pro Objednatele Služby dle Smlouvy, zejm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éna technické a personální zabezpe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provozu za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ízení a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ěpř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šenstv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í, 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četně zapůjčen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kompletního za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ízení dle seznamu, který je nedílnou sou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ástí Smlouvy, na míst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 určen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ém Objednatelem (dále té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 jen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ísto konání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“), pro audiovizuální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ředstaven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v termínech dohodnutých mezi XLAB a Objednatelem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(dále té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 jen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Projekce D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íla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“) a pro zkou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šky Projekce 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íla, provád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 za ú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čelem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úpravy kone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 podoby Projekce Díla (dále té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 jen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Zkou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šky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“).  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1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XLAB provede dodání a montá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 kompletn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Techniky dle po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žadavků Objednatele do prostor 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ísta konání, ve lh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ůtě dle Smlouvy, v rozsahu stanoven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ém Smlouvou, zejména: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3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dodaní sv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ěteln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 techniky;</w:t>
      </w:r>
    </w:p>
    <w:p>
      <w:pPr>
        <w:numPr>
          <w:ilvl w:val="0"/>
          <w:numId w:val="33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dodání videotechniky a Techniky SFX;</w:t>
      </w:r>
    </w:p>
    <w:p>
      <w:pPr>
        <w:numPr>
          <w:ilvl w:val="0"/>
          <w:numId w:val="33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dodání zvukové techniky; </w:t>
      </w:r>
    </w:p>
    <w:p>
      <w:pPr>
        <w:numPr>
          <w:ilvl w:val="0"/>
          <w:numId w:val="33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dodání po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íta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čov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 techniky;</w:t>
      </w:r>
    </w:p>
    <w:p>
      <w:pPr>
        <w:numPr>
          <w:ilvl w:val="0"/>
          <w:numId w:val="33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dodání pracovního osv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ětlen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v zákulisí a kulisách;</w:t>
      </w:r>
    </w:p>
    <w:p>
      <w:pPr>
        <w:numPr>
          <w:ilvl w:val="0"/>
          <w:numId w:val="33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dodání nosných konstrukcí (nosné konstrukce pro LED obrazovky apod.);</w:t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(dále spole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čně 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 jen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Technika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“)</w:t>
        <w:tab/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6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instalace Techniky a jejího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šenstv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</w:t>
      </w:r>
    </w:p>
    <w:p>
      <w:pPr>
        <w:numPr>
          <w:ilvl w:val="0"/>
          <w:numId w:val="36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íprava Techniky a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šenstv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řed Projekc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Díla, Zkou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škami a všemi ostatn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ími akcemi dle Smlouvy, kontrola funk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čnosti Techniky a př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šenstv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a odstran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ípadných nedostatk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 před Projekc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Díla a Zkou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škami; </w:t>
      </w:r>
    </w:p>
    <w:p>
      <w:pPr>
        <w:numPr>
          <w:ilvl w:val="0"/>
          <w:numId w:val="36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provoz Techniky a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šenstv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ři Projekci 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íla a Zkou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šk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ách;</w:t>
      </w:r>
    </w:p>
    <w:p>
      <w:pPr>
        <w:numPr>
          <w:ilvl w:val="0"/>
          <w:numId w:val="36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servis a údr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žba Techniky a př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šenstv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í, tak aby byly po dobu zap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ůjčen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Techniky 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ždy plně funkčn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í;</w:t>
        <w:tab/>
      </w:r>
    </w:p>
    <w:p>
      <w:pPr>
        <w:numPr>
          <w:ilvl w:val="0"/>
          <w:numId w:val="36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zabezpe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ve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šker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ého technického personálu pot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řebn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ého k obsluze Techniky a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šenstv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po dobu po celou dobu Projekce Díla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či Zkoušky. 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8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V pr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ůběhu plněn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Smlouvy, 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ůže s ohledem na uměleck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ý zám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ěr doj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ít ze strany Objednatele ke zm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ěně požadavků na rozsah a způsob plněn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dle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čl. 3. odst. 3.2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ísm. a) 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 k) VOP. Takov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 zm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ěna mus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být ze strany XLAB odsouhlasena. V takovém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 bude mezi Stranami ujedn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ána cena provedení 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ěchto změn a lhůta pro jejich proveden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samostatným ujednáním. </w:t>
      </w:r>
    </w:p>
    <w:p>
      <w:p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0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ři realizaci činnost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dle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čl. 3 odst. 3.1 VOP XLAB pln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um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ěleck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 zám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ěry Objednatele tak, aby Projekce 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íla byla realizována dle dispozic Objednatele.</w:t>
      </w:r>
    </w:p>
    <w:p>
      <w:p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2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XLAB se 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ždy dostav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na Zkou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šky a Projekce 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íla s takovým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ředstihem, aby nejm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 1 hod před stanoven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ým za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átkem Zkou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šky či Projekce 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íla byla 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šechna Technika ve stavu způsobil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ém pro realizaci Zkou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šky či Projekce 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íla a zavazuje se být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ítomen a plnit své smluvní povinnosti po celou dobu Zkou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šky či Projekce 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íla.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4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Za ú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čelem splněn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svých povinností vyplývajících z tohoto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čl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ánku VOP je XLAB povinen dostavit se prost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řednictv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ím svých Technik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 k prov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činnosti dle Smlouvy na 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ísto konání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ádn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 připraven a v takov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ém stavu, aby mohl na profesionální úrovni plnit smluvní povinnosti, a takto je povinen setrvat po celý pr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ůběh Zkoušky či Projekce 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íla.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7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 xml:space="preserve">Dílo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9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XLAB vyhotovuje pro Objednatele Dílo dle Smlouvy.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1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XLAB se zavazuje vytvo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řit 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ílo osobn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ě, na svůj 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áklad a nebezpe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a dle pokyn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 Objednatele. XLAB Objednatele průběžně, kdykoli o to Objednatel pož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ádá, s rozpracovaným Dílem seznámí.</w:t>
      </w: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3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XLAB odpovídá Objednateli za to,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že 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ílo nemá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ádné právní vady a prohla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šuje, že je opr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ávn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ěn s 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ílem disponovat v souladu s ú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čelem Smlouvy. XLAB se zavazuje zajistit Objednateli 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ádné a neru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 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žit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Díla dle Smlouvy.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5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XLAB je v pr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ůběhu tvorby 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íla oprávn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ěn požadovat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ísemné stanovisko Objednatele k ji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 zhotoven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ým, pop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ř. rozpracovan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ým,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ástem Díla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či způsobu jeho proveden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a postupovat v souladu s nimi.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V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 nemožnosti akceptov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ání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řipom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ínek a pokyn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 Objednatele, sděl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XLAB své stanovisko s od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ůvodněn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ím Objednateli písemn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ě, pokud nebude mezi Stranami dohodnuto jinak.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7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Objednatel je povinen XLAB dodat ve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šker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 podklady k výrob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 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íla. Nejpozd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ěji do jednoho měs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íce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řed term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ínem dokon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Díla stanoveným ve Smlouv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ě. V př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ě, že Objednatel před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 Zhotoviteli jakýkoliv podklad pro výrobu Díla pozd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ěji, nen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oprávn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ěn uplatnit pr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ávo z vadného pln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spo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ívajícího v nedodr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termínu dokon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Díla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či 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áhradu újmy vzniklé Objednateli nedodr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ím termínu dokon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Díla. </w:t>
      </w: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9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XLAB se zavazuje Dílo,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ípadn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 jeho č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ást, dokon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čit a předat v term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ínu, míst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 a způsobem uveden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ými ve Smlouv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ě.</w:t>
      </w: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1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Dílo se pova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žuje za předan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é, je-li dokon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čeno a XLAB umožn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Objednateli jeho 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žit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v souladu s ustanovení § 2632 ob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čansk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ého zákoníku. Umo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žněn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ím 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žit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se rozumí technické zp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ístupn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Díla, 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četně zpř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ístupn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formou dálkového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ístupu.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3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Objednatel nebo osoba jím pov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ěřen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 je povinna písemn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 sdělit XLAB do dvou dnů od před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ání Díla,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ípadn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 jeho č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ásti, zda Dílo,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ípadn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 jeho č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ást, schvaluje, pop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 mu v 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éto lh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ůtě vytknout vady. Po marn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ém uplynutí uvedené lh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ůty je 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ílo v tomto rozsahu pova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žov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áno za schválené a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řevzat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 bez výhrad. Objednatel je oprávn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ěn ve lhůtě 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ý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še uveden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 písemn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 požadovat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úpravu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či přepracov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ání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ředan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ásti Díla tak, aby Dílo bylo v souladu se Smlouvou, písemnými pokyny Objednatele ud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ělen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ými v pr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ůběhu vytv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Díla a aby vyhovovalo tv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ůrč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ím zám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ěrům Objednatele. XLAB se zavazuje, že v takov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ém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 uprav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či přepracuje 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ílo v souladu s písemnými po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žadavky Objednatele v přiměřen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 lh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ůtě stanoven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 XLAB, minimální délka této lh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ůty čin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jeden den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od doru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po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žadavků Objednatele XLAB. Objednatel nen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oprávn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ěn přepracov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ání Díla po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žadovat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než dva dny před pl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ánovanou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Projekcí Díla.</w:t>
      </w: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5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Dílo se rovn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ěž považuje za předan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é, schválené a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řevzat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 bez výhrad, je-li zahájena Projekce Díla.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7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XLAB Dílo vytvo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samostatnou tv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ůrč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činnost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í. XLAB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ři vytv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Díla postupuje v souladu s obecn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 z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ávaznými právními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ředpisy. 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ílo nesmí bez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ředchoz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ího písemného souhlasu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či pokynu Objednatele obsahovat 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ázvy nebo loga firem ani jejich výrobk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 či služeb.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69"/>
        </w:numPr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áním Díla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ádí XLAB na Objednatele vlastnické právo k hmotnému substrátu originálu Díla, 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četně kter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ékoliv jeho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ásti.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709" w:hanging="709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09" w:hanging="709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1"/>
        </w:numPr>
        <w:spacing w:before="0" w:after="0" w:line="240"/>
        <w:ind w:right="0" w:left="720" w:hanging="720"/>
        <w:jc w:val="left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ab/>
        <w:t xml:space="preserve">Licence</w:t>
        <w:br/>
      </w:r>
    </w:p>
    <w:p>
      <w:pPr>
        <w:numPr>
          <w:ilvl w:val="0"/>
          <w:numId w:val="71"/>
        </w:numPr>
        <w:tabs>
          <w:tab w:val="left" w:pos="709" w:leader="none"/>
        </w:tabs>
        <w:spacing w:before="0" w:after="0" w:line="240"/>
        <w:ind w:right="0" w:left="709" w:hanging="709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XLAB poskytuje Objednateli Licenci k 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žit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Díla v rozsahu specifikovaném ní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že.</w:t>
      </w: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4"/>
        </w:numPr>
        <w:tabs>
          <w:tab w:val="left" w:pos="709" w:leader="none"/>
        </w:tabs>
        <w:spacing w:before="0" w:after="0" w:line="240"/>
        <w:ind w:right="0" w:left="709" w:hanging="709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Licence je poskytnuta jako nevýhradní.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6"/>
        </w:numPr>
        <w:tabs>
          <w:tab w:val="left" w:pos="709" w:leader="none"/>
        </w:tabs>
        <w:spacing w:before="0" w:after="0" w:line="240"/>
        <w:ind w:right="0" w:left="709" w:hanging="709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XLAB Licencí ud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ěluje Objednateli pr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ávo na sd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ělov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ání Díla ve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řejnosti prostřednictv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ím po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íta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čov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 sít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ě, pr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ávo na provozování Díla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živě nebo ze z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áznamu a právo na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řenos provozov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ání Díla.</w:t>
      </w:r>
    </w:p>
    <w:p>
      <w:pPr>
        <w:tabs>
          <w:tab w:val="left" w:pos="709" w:leader="none"/>
        </w:tabs>
        <w:spacing w:before="0" w:after="0" w:line="240"/>
        <w:ind w:right="0" w:left="709" w:hanging="709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8"/>
        </w:numPr>
        <w:tabs>
          <w:tab w:val="left" w:pos="709" w:leader="none"/>
        </w:tabs>
        <w:spacing w:before="0" w:after="0" w:line="240"/>
        <w:ind w:right="0" w:left="709" w:hanging="709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Územní rozsah Licence je omezen na území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republiky.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0"/>
        </w:numPr>
        <w:tabs>
          <w:tab w:val="left" w:pos="709" w:leader="none"/>
        </w:tabs>
        <w:spacing w:before="0" w:after="0" w:line="240"/>
        <w:ind w:right="0" w:left="709" w:hanging="709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Licence je poskytnuta jako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časově omezen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 na dobu Projekce Díla. V 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ě, že k Projekci 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íla nedochází, je Licence poskytnuta jako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časově omezen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 na dobu jednoho roku ode dne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ání Díla.</w:t>
      </w: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2"/>
        </w:numPr>
        <w:tabs>
          <w:tab w:val="left" w:pos="709" w:leader="none"/>
        </w:tabs>
        <w:spacing w:before="0" w:after="0" w:line="240"/>
        <w:ind w:right="0" w:left="709" w:hanging="709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Objednatel není oprávn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ěn postoupit Licenci třet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osob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ě.</w:t>
      </w: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4"/>
        </w:numPr>
        <w:tabs>
          <w:tab w:val="left" w:pos="709" w:leader="none"/>
        </w:tabs>
        <w:spacing w:before="0" w:after="0" w:line="240"/>
        <w:ind w:right="0" w:left="709" w:hanging="709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Objednatel není oprávn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ěn udělit na z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áklad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 Licence ž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ádné 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osob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 podlicenci.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7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 xml:space="preserve">Práva 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řet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ích osob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9"/>
        </w:numPr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Bude-li Objednatel po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žadovat, aby k vytvořen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Díla byla 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žita jak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ákoliv díla 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ích osob podléhajících ochran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 pr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áv du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ševn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ího vlastnictví, tj. právu autorskému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či pr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ům průmyslov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ého vlastnictví, zavazuje se XLAB oslovit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nositele takových práv du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ševn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ího vlastnictví k zaji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štěn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jejich souhlasu s 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ého díla a poskytnutí licence,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íp. podlicence, v rozsahu nezbytném pro pln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dle Smlouvy (dále jen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Souhlas s 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žit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ím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“). 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1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XLAB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řed zajištěn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ím Souhlasu s 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žit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ím informuje Objednatele o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ředpokl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ádané vý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ši 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áklad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 na zajištěn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Souhlasu s 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žit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ím. Náklady na Souhlas s 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žit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ím uhradí Objednatel dle jejich skute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 vý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še na z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áklad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 faktury vystaven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 XLAB.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áhne-li 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šak skutečn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 vý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še 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áklad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 předpokl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ádanou vý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ši 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áklad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 o 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íce ne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 10% je Objednatel opr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ávn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ěn od Smlouvy odstoupit, pokud dř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íve toto navý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náklad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ů neschv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álil.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3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V 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ě, že XLAB nebude schopen zajistit Souhlas s užit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ím a Objednatel na 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žit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díla 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ích osob trvá, je XLAB oprávn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ěn od Smlouvy odstoupit, pokud Objednatel vlastn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ím jménem a na vlastní ú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čet Souhlas s užit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ím nezajistí.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6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 xml:space="preserve">Termíny pln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í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8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Termín ur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ý k dokon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Díla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či poskytnut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 Slu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žby (d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ále jen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Term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ín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“) je 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ždy stanoven ve Smlouvě.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0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Termín stanovený Smlouvou je mo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žn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 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ěnit jen se souhlasem Stran.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2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 xml:space="preserve">Povinnosti Objednatele</w:t>
      </w:r>
    </w:p>
    <w:p>
      <w:pPr>
        <w:spacing w:before="0" w:after="0" w:line="240"/>
        <w:ind w:right="0" w:left="709" w:hanging="709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4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Objednatel je povinen hradit XLAB za Dílo a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žby odměnu dle Smlouvy.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6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Objednatel je povinen informovat XLAB o zm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ěně vešker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ých okolností nezbytných pro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ádné pln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Smlouvy.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8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Objednatel je povinen poskytovat XLAB plnou sou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činnost, zejm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éna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ředat vešker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pot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řebn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podklady a informace, konzultovat bezodkladn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problémy kdykoliv v pr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ůběhu prov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Díla, 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častnit se koordinačn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ích sch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ůzek a podobně.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0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Objednatel je povinen podat XLAB písemné stanovisko obsahující schválení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jin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vyjád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k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ředmětu ž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ádosti ve lh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ůtě 5 dnů od doručen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ádosti o stanovisko v 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ípadech, kdy XLAB Objednateli podá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ádost týkající se specifikace Díla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Služby. V př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že stanovisko Objednatele nebude ve shora uveden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lh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ůtě doručeno XLAB, je XLAB opr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ávn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 pokračovat ve tvorbě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poskytov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ání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žby dle vlastn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ího uvá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a Objednatel tehdy není oprávn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 pod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ávat k takto zpracovaným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ástem Díla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způsobu jeho proveden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poskytovan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žbě ž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ádné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řipom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ínky.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2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Objednatel bude s XLAB komunikovat prost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řednictv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kontaktní osoby uvedené ve Smlouv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pokud nebude dohodnuto jinak. Objednatele zastupuj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jeho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ěstnanci nebo osoby s Objednatelem spolupracuj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ící, v rozsahu obvyklém vzhledem k jejich 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řazen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nebo funkci,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řitom rozhoduje stav, jak se jev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ve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řejnosti. Jestliže Objednatel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ýslovn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neupozorn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XLAB,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 konkr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étní osoba není oprávn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ěna jeho jm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énem jednat, má se za to,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 za Objednatele jedn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4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 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Projekce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íla je Objednatel povinen zajistit XLAB technické zázemí pro 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čely Projekce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íla, kterým se rozumí zejména zabezpe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prostoru, osv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ětlen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í, elektrického vedení a bezpe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čnosti (ochrany proti vniknut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kr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ži). XLAB před Projekc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Díla sd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písemn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Objednateli, zda je technick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zázemí dostate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é. V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že XLAB ozn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ámí Objednateli,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 technick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zázemí pro 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čely Projekce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íla není vyhovující, je Objednatel povinen zajistit bezodkladn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ápravu uvedeného stavu. V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že Objednatel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ápravu uvedeného stavu nezajistí, nemá Objednatel nárok na uplatn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práv z vadného pln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sankc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v souvislosti s Projekcí Díla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dle ustanovení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čl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ánku 10. VOP.</w:t>
      </w: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6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Objednatel je povinen zajistit, aby Místo konání bylo technicky zp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ůsobil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pro Projekci Díla (velikost prostoru, umíst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techniky, umíst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technického zázemí XLAB a 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ích osob apod.) V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že XLAB ozn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ámí Objednateli,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ísto konání není technicky zp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ůsobil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pro Projekci Díla, je Objednatel povinen zajistit bezodkladn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ápravu uvedeného stavu. V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že Objednatel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ápravu uvedeného stavu nezajistí, nemá Objednatel nárok na uplatn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práv z vadného pln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áhrady újmy v souvislosti s Projekcí Díla dle ustanovení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ánku 10. VOP.</w:t>
      </w: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8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že dojde ze strany Objednatele ke změně jak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ékoliv dispozice Místa konání oproti stavu odsouhlasenému ze strany XLAB, ve lh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ůtě neumožňuj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ící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řizpůsobit Projekci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íla takové zm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ěně, nem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Objednatel nárok na uplatn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práv z vadného pln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áhrady újmy v souvislosti s Projekcí Díla dle ustanovení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ánku 10. VOP.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0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Pokud Objednatel neposkytne XLAB sou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činnost podle ustanoven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ředchoz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ích odstavc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ů, vyhrazuje si XLAB pr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ávo na zm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ěnu term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 plněn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dle Smlouvy.</w:t>
      </w:r>
    </w:p>
    <w:p>
      <w:pPr>
        <w:spacing w:before="0" w:after="0" w:line="240"/>
        <w:ind w:right="0" w:left="709" w:hanging="709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09" w:hanging="709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2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 xml:space="preserve">Odm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ěna a fakturace</w:t>
      </w:r>
    </w:p>
    <w:p>
      <w:pPr>
        <w:spacing w:before="0" w:after="0" w:line="240"/>
        <w:ind w:right="0" w:left="709" w:hanging="709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4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Odm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ěna za vyhotoven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Díla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poskytnut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žby je vždy stanovena ve Smlouvě. K odměně bude připočtena DPH v 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ákonné vý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ši.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6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Ujednání o nákladech na Souhlas s 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se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ídí ustanovením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čl. 6 VOP.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8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Není-li sjednáno jinak, licen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poplatek za poskytnutí Licence je zahrnut v cen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za vytvořen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Díla.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30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Odm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ěna za vyhotoven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Díla je Objednatelem hrazena na základ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faktury XLAB se 14 denn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splatností. Odm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ěna za poskytov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ání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žeb je Objednatelem hrazena zpětně za kalend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íc, ve kterém poskytovány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poskytov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ány, a to na základ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faktury XLAB se 14 denn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splatností. </w:t>
      </w: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32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šker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odm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ěny dle Smlouvy a těchto VOP jsou Objednatelem hrazeny bankovn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řevodem na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čet č. 260540361/0300, veden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 u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Československ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obchodní banka, a. 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34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 xml:space="preserve">Sankce a náhrada vzniklé újmy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36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Bude-li Objednatel v prodlení s platbou kterékoliv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ásti odm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ěny dle čl. 9 VOP či Smlouvy, je povinen zaplatit XLAB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úrok z prodlení ve vý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ši 0,1 % z dlužn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ástky za ka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 den prodlení.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38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Vznikne-li Objednateli v 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činn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souvislosti s vadami Díla jakákoli újma, za ní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 XLAB odpov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ídá, nahradí XLAB Objednateli takovou újmu 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 do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 100 % odměny skutečně zaplacen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Objednatelem za vyhotovení Díla. Za odm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ěnu skutečně zaplacenou se nepovažuje takov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ást odm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ěny, jej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 vr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ácení bylo Objednatelem nárokováno z jiného titulu (nap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ř. uplatněn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práv z vadného pln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í).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40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Nedostaví-li se XLAB, na Projekci Díla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na Zkoušku nebo nedostav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í-li se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čas, nebude-li Technika schopna provozu z důvodu poruchy, kterou měl nebo mohl XLAB předv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ídat, nebo která nastala z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ůvodu špatn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nedostatečn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údr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žby nebo servisu XLAB či osob 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pov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ěřen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ých, budou-li pracovníci obsluhující Techniku v pr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ůběhu Projekce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íla pod vlivem alkoholu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jin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ých omamných látek, nahradí XLAB Objednateli újmu vzniklou v souvislosti s takovým jednáním 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 do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 50 % 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ásti odm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ěny stanoven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za tuto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šnou Službu, při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 k 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 uveden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ému jednání na stran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XLAB došlo. Za 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ást odm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ěny stanoven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za tuto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šnou Službu se pro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čely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áhrady újmy nepova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žuje 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ást odm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ěny ve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ši, jež byla Objednatelem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árokována z jiného titulu (nap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ř. uplatněn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práv z vadného pln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í). Náhrada újmy dle tohoto odstavce je splatná dnem splatnosti odm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ěny za tuto př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šnou Službu.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áhrada újmy dle tohoto odstavce je hrazena zápo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čtem proti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úhrad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odměny hrazen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Objednatelem. 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42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že se při Projekci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íla budou opakovan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vyskytovat technick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nedostatky, zp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ůsoben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špatn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 ovládáním jednotlivých 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ízení pracovníky XLAB, uhradí XLAB Objednateli vzniklou újmu 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 do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 100 % 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ásti odm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ěny stanoven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za takovou Projekci Díla. Za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ást odm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ěny stanoven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za takovou projekci Díla se pro 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čely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áhrady újmy nepova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žuje 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ást odm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ěny ve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ši, jež byla Objednatelem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árokována z jiného titulu (nap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ř. uplatněn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práv z vadného pln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í). Náhrada újmy dle tohoto odstavce je splatná dnem splatnosti odm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ěny za tuto př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šnou Projekci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íla. Náhrada újmy dle tohoto odstavce je hrazena zápo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čtem proti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úhrad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odměny hrazen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Objednatelem.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44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Bez ohledu na ostatní ujednání tohoto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ánku platí,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 jak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ékoliv vady poskytnutých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žeb je Objednatel povinen reklamovat nejpozději ve lhůtě 24 hodin od okamžiku ukončen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poskytování konkrétní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žby, a to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ísemnou formou, na email kontaktní osoby XLAB uvedený ve Smlouv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či ozn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ámený Objednateli jako kontaktní email. V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neuplatněn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reklamace v této lh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ůtě plat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 poskytnut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konkrétní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žby bylo bezvadn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46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 xml:space="preserve">Forma jednání a doru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čov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ání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48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Právní jednání, pro které je nutná písemná forma, je platné, zejména je-li podepsáno jednající osobou. Je-li právní jednání 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činěno elektronicky, plat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ísemná forma pro právní jednání je zachována, jestli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 jednaj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ící osoba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řipojila k dan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datové zpráv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zaručen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 elektronický podpis ve smyslu zákona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č. 297/2016 Sb., o služb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ách vytvá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ících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ůvěru pro elektronick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transakce, ve zn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pozd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ějš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ích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ředpisů, nebo pokud datovou zpr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ávu odeslala z datové schránky ve smyslu zákona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č. 300/2008 Sb., o elektronick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ých úkonech a autorizované konverzi dokument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 ve zněn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pozd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ějš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ích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ředpisů.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50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Písemnosti doru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čovan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prost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řednictv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dr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žitele poštovn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licence budou zasílány na adresu sídla nebo bydli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ště uveden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ého u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ého adresáta ve Smlouv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52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Má se za to,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 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ásilka odeslaná s vyu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provozovatele po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štovn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ích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žeb došla třet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pracovní den po odeslání, byla-li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šak odesl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ána na adresu v jiném státu, pak patnáctý pracovní den po odeslání.</w:t>
      </w: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54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Strany mají povinnost oznámit druhé Stran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bez zbytečn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ého odkladu jakoukoliv zm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ěnu kontaktn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ích údaj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 uveden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ých ve Smlouv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56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 xml:space="preserve">Ml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čenlivost a ochrana důvěrn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ých informací</w:t>
      </w:r>
    </w:p>
    <w:p>
      <w:pPr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58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Strany jsou povinny zachovávat ml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čenlivost o důvěrn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ých informacích. Za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ůvěrn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informace se pova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ve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šker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informace a údaje, které se Strany dozví v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ímé i nep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ímé souvislosti s jednáním o vzájemné spolupráci, zejména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šechna data,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ýkresy, filmy, dokumentace, po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íta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média, obchodní a platební podmínky, grafické návrhy a informace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šech druhů a v jak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ékoli form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hmotn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nehmotn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é, které jsou vzájemn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poskytov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ány Stranami písemn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nebo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ústn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při prezentaci či jinak za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čelem vz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ájemné spolupráce. Za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ůvěrn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informace se pova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rovn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ěž vešker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informace o zájemcích, klientech, know-how a dal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ích zále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žitostech obou Stran, kter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nejsou ve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řejně dostupn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a známé a jsou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ředmětem 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ího tajemství.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60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Strany nesd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ůvěrn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informace 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osob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a přijmou takov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opat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í, která znemo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jejich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ístupnost 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osobám. Ustanovení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ředchoz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ěty se nevztahuje na důvěrn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informace:</w:t>
      </w:r>
    </w:p>
    <w:p>
      <w:p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62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 </w:t>
        <w:tab/>
        <w:t xml:space="preserve">jejich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 zveřejněn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je XLAB oprávn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 anebo povinen v souvislosti se Smlouvou;</w:t>
      </w:r>
    </w:p>
    <w:p>
      <w:pPr>
        <w:numPr>
          <w:ilvl w:val="0"/>
          <w:numId w:val="162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které byly v dob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jejich zveřejněn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šeobecně zn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ámými;</w:t>
      </w:r>
    </w:p>
    <w:p>
      <w:pPr>
        <w:numPr>
          <w:ilvl w:val="0"/>
          <w:numId w:val="162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které se staly nebo stanou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šeobecně zn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ámými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dostupn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ými jinak ne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 porušen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povinností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ěkter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ze Stran;</w:t>
      </w:r>
    </w:p>
    <w:p>
      <w:pPr>
        <w:numPr>
          <w:ilvl w:val="0"/>
          <w:numId w:val="162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k jejich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 zveřejněn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dala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Strana druhé Stran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ýslovný souhlas.</w:t>
      </w:r>
    </w:p>
    <w:p>
      <w:p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64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Povinnost ml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čenlivosti trv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bez ohledu na trvání Smlouvy.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66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XLAB nad rámec ml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čenlivosti dle tohoto čl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ánku VOP nebude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ůvěrn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informace týkající se Objednatele jakýmkoli zp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ůsobem bez pr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ávního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ůvodu nebo v rozporu s pokyny Objednatele shromažďovat, sb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írat, uchovávat, roz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šiřovat, zpř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ístup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ňovat, zpracov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ávat, vyu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ívat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sdružovat s jin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ými informacemi. 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68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XLAB je oprávn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 činit audiovizu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ální záznam Projekce Díla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Zkoušky a tento 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áznam uchovat pro interní pot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řebu bez omezen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í. 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70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 xml:space="preserve">Záv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ěrečn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á ustanovení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72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VOP jsou platné a 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činn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dnem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14. 4. 2021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 jsou pro Objednatele závazné dnem uzav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Smlouvy. </w:t>
      </w:r>
    </w:p>
    <w:p>
      <w:p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74"/>
        </w:numPr>
        <w:spacing w:before="0" w:after="0" w:line="24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VOP jsou k dispozici v sídle XLAB a na webových stránkách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http://www.xlab.cz/cz/vop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76"/>
        </w:numPr>
        <w:spacing w:before="0" w:after="0" w:line="240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VOP a Smlouva se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ídí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 právním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ádem.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ípadné spory, které mezi Stranami vzniknou, bude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řešit obecn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 soud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republiky.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num w:numId="5">
    <w:abstractNumId w:val="492"/>
  </w:num>
  <w:num w:numId="7">
    <w:abstractNumId w:val="486"/>
  </w:num>
  <w:num w:numId="10">
    <w:abstractNumId w:val="480"/>
  </w:num>
  <w:num w:numId="12">
    <w:abstractNumId w:val="474"/>
  </w:num>
  <w:num w:numId="14">
    <w:abstractNumId w:val="468"/>
  </w:num>
  <w:num w:numId="16">
    <w:abstractNumId w:val="462"/>
  </w:num>
  <w:num w:numId="19">
    <w:abstractNumId w:val="456"/>
  </w:num>
  <w:num w:numId="21">
    <w:abstractNumId w:val="450"/>
  </w:num>
  <w:num w:numId="23">
    <w:abstractNumId w:val="444"/>
  </w:num>
  <w:num w:numId="25">
    <w:abstractNumId w:val="438"/>
  </w:num>
  <w:num w:numId="27">
    <w:abstractNumId w:val="432"/>
  </w:num>
  <w:num w:numId="29">
    <w:abstractNumId w:val="426"/>
  </w:num>
  <w:num w:numId="31">
    <w:abstractNumId w:val="420"/>
  </w:num>
  <w:num w:numId="33">
    <w:abstractNumId w:val="414"/>
  </w:num>
  <w:num w:numId="36">
    <w:abstractNumId w:val="408"/>
  </w:num>
  <w:num w:numId="38">
    <w:abstractNumId w:val="402"/>
  </w:num>
  <w:num w:numId="40">
    <w:abstractNumId w:val="396"/>
  </w:num>
  <w:num w:numId="42">
    <w:abstractNumId w:val="390"/>
  </w:num>
  <w:num w:numId="44">
    <w:abstractNumId w:val="384"/>
  </w:num>
  <w:num w:numId="47">
    <w:abstractNumId w:val="378"/>
  </w:num>
  <w:num w:numId="49">
    <w:abstractNumId w:val="372"/>
  </w:num>
  <w:num w:numId="51">
    <w:abstractNumId w:val="366"/>
  </w:num>
  <w:num w:numId="53">
    <w:abstractNumId w:val="360"/>
  </w:num>
  <w:num w:numId="55">
    <w:abstractNumId w:val="354"/>
  </w:num>
  <w:num w:numId="57">
    <w:abstractNumId w:val="348"/>
  </w:num>
  <w:num w:numId="59">
    <w:abstractNumId w:val="342"/>
  </w:num>
  <w:num w:numId="61">
    <w:abstractNumId w:val="336"/>
  </w:num>
  <w:num w:numId="63">
    <w:abstractNumId w:val="330"/>
  </w:num>
  <w:num w:numId="65">
    <w:abstractNumId w:val="324"/>
  </w:num>
  <w:num w:numId="67">
    <w:abstractNumId w:val="318"/>
  </w:num>
  <w:num w:numId="69">
    <w:abstractNumId w:val="312"/>
  </w:num>
  <w:num w:numId="71">
    <w:abstractNumId w:val="306"/>
  </w:num>
  <w:num w:numId="74">
    <w:abstractNumId w:val="300"/>
  </w:num>
  <w:num w:numId="76">
    <w:abstractNumId w:val="294"/>
  </w:num>
  <w:num w:numId="78">
    <w:abstractNumId w:val="288"/>
  </w:num>
  <w:num w:numId="80">
    <w:abstractNumId w:val="282"/>
  </w:num>
  <w:num w:numId="82">
    <w:abstractNumId w:val="276"/>
  </w:num>
  <w:num w:numId="84">
    <w:abstractNumId w:val="270"/>
  </w:num>
  <w:num w:numId="87">
    <w:abstractNumId w:val="264"/>
  </w:num>
  <w:num w:numId="89">
    <w:abstractNumId w:val="258"/>
  </w:num>
  <w:num w:numId="91">
    <w:abstractNumId w:val="252"/>
  </w:num>
  <w:num w:numId="93">
    <w:abstractNumId w:val="246"/>
  </w:num>
  <w:num w:numId="96">
    <w:abstractNumId w:val="240"/>
  </w:num>
  <w:num w:numId="98">
    <w:abstractNumId w:val="234"/>
  </w:num>
  <w:num w:numId="100">
    <w:abstractNumId w:val="228"/>
  </w:num>
  <w:num w:numId="102">
    <w:abstractNumId w:val="222"/>
  </w:num>
  <w:num w:numId="104">
    <w:abstractNumId w:val="216"/>
  </w:num>
  <w:num w:numId="106">
    <w:abstractNumId w:val="210"/>
  </w:num>
  <w:num w:numId="108">
    <w:abstractNumId w:val="204"/>
  </w:num>
  <w:num w:numId="110">
    <w:abstractNumId w:val="198"/>
  </w:num>
  <w:num w:numId="112">
    <w:abstractNumId w:val="192"/>
  </w:num>
  <w:num w:numId="114">
    <w:abstractNumId w:val="186"/>
  </w:num>
  <w:num w:numId="116">
    <w:abstractNumId w:val="180"/>
  </w:num>
  <w:num w:numId="118">
    <w:abstractNumId w:val="174"/>
  </w:num>
  <w:num w:numId="120">
    <w:abstractNumId w:val="168"/>
  </w:num>
  <w:num w:numId="122">
    <w:abstractNumId w:val="162"/>
  </w:num>
  <w:num w:numId="124">
    <w:abstractNumId w:val="156"/>
  </w:num>
  <w:num w:numId="126">
    <w:abstractNumId w:val="150"/>
  </w:num>
  <w:num w:numId="128">
    <w:abstractNumId w:val="144"/>
  </w:num>
  <w:num w:numId="130">
    <w:abstractNumId w:val="138"/>
  </w:num>
  <w:num w:numId="132">
    <w:abstractNumId w:val="132"/>
  </w:num>
  <w:num w:numId="134">
    <w:abstractNumId w:val="126"/>
  </w:num>
  <w:num w:numId="136">
    <w:abstractNumId w:val="120"/>
  </w:num>
  <w:num w:numId="138">
    <w:abstractNumId w:val="114"/>
  </w:num>
  <w:num w:numId="140">
    <w:abstractNumId w:val="108"/>
  </w:num>
  <w:num w:numId="142">
    <w:abstractNumId w:val="102"/>
  </w:num>
  <w:num w:numId="144">
    <w:abstractNumId w:val="96"/>
  </w:num>
  <w:num w:numId="146">
    <w:abstractNumId w:val="90"/>
  </w:num>
  <w:num w:numId="148">
    <w:abstractNumId w:val="84"/>
  </w:num>
  <w:num w:numId="150">
    <w:abstractNumId w:val="78"/>
  </w:num>
  <w:num w:numId="152">
    <w:abstractNumId w:val="72"/>
  </w:num>
  <w:num w:numId="154">
    <w:abstractNumId w:val="66"/>
  </w:num>
  <w:num w:numId="156">
    <w:abstractNumId w:val="60"/>
  </w:num>
  <w:num w:numId="158">
    <w:abstractNumId w:val="54"/>
  </w:num>
  <w:num w:numId="160">
    <w:abstractNumId w:val="48"/>
  </w:num>
  <w:num w:numId="162">
    <w:abstractNumId w:val="42"/>
  </w:num>
  <w:num w:numId="164">
    <w:abstractNumId w:val="36"/>
  </w:num>
  <w:num w:numId="166">
    <w:abstractNumId w:val="30"/>
  </w:num>
  <w:num w:numId="168">
    <w:abstractNumId w:val="24"/>
  </w:num>
  <w:num w:numId="170">
    <w:abstractNumId w:val="18"/>
  </w:num>
  <w:num w:numId="172">
    <w:abstractNumId w:val="12"/>
  </w:num>
  <w:num w:numId="174">
    <w:abstractNumId w:val="6"/>
  </w:num>
  <w:num w:numId="17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xlab.cz/cz/vop" Id="docRId0" Type="http://schemas.openxmlformats.org/officeDocument/2006/relationships/hyperlink" /><Relationship TargetMode="External" Target="http://www.xlab.cz/cz/vop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